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20"/>
        </w:rPr>
      </w:pPr>
    </w:p>
    <w:p>
      <w:pPr>
        <w:pStyle w:val="2"/>
        <w:ind w:right="67"/>
        <w:jc w:val="center"/>
        <w:rPr>
          <w:u w:val="thick"/>
        </w:rPr>
      </w:pPr>
      <w:r>
        <w:rPr>
          <w:u w:val="thick"/>
        </w:rPr>
        <w:t>Certificate of Analysis</w:t>
      </w:r>
    </w:p>
    <w:p/>
    <w:p>
      <w:pPr>
        <w:tabs>
          <w:tab w:val="left" w:pos="3758"/>
          <w:tab w:val="left" w:pos="8205"/>
        </w:tabs>
        <w:spacing w:before="171" w:after="27"/>
        <w:ind w:right="67" w:firstLine="240" w:firstLineChars="100"/>
        <w:jc w:val="both"/>
        <w:rPr>
          <w:rFonts w:hint="default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Product Name: Sucralose [56038-13-2]   Quantity:2000kgs                                        Test Date:Jul 14th, 2021</w:t>
      </w:r>
    </w:p>
    <w:p>
      <w:pPr>
        <w:tabs>
          <w:tab w:val="left" w:pos="3758"/>
          <w:tab w:val="left" w:pos="8205"/>
        </w:tabs>
        <w:spacing w:before="171" w:after="27"/>
        <w:ind w:left="0" w:right="67" w:firstLine="0"/>
        <w:jc w:val="center"/>
        <w:rPr>
          <w:rFonts w:hint="default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 xml:space="preserve">   </w:t>
      </w:r>
      <w:r>
        <w:rPr>
          <w:sz w:val="24"/>
        </w:rPr>
        <w:t>Batch</w:t>
      </w:r>
      <w:r>
        <w:rPr>
          <w:spacing w:val="-2"/>
          <w:sz w:val="24"/>
        </w:rPr>
        <w:t xml:space="preserve"> </w:t>
      </w:r>
      <w:r>
        <w:rPr>
          <w:sz w:val="24"/>
        </w:rPr>
        <w:t>No.:</w:t>
      </w:r>
      <w:r>
        <w:rPr>
          <w:rFonts w:hint="eastAsia"/>
          <w:sz w:val="24"/>
        </w:rPr>
        <w:t>20210</w:t>
      </w:r>
      <w:r>
        <w:rPr>
          <w:rFonts w:hint="eastAsia" w:eastAsia="宋体"/>
          <w:sz w:val="24"/>
          <w:lang w:val="en-US" w:eastAsia="zh-CN"/>
        </w:rPr>
        <w:t xml:space="preserve">708                            </w:t>
      </w:r>
      <w:r>
        <w:rPr>
          <w:sz w:val="24"/>
        </w:rPr>
        <w:t>Manufacture Date:</w:t>
      </w:r>
      <w:r>
        <w:rPr>
          <w:rFonts w:hint="eastAsia" w:eastAsia="宋体"/>
          <w:sz w:val="24"/>
          <w:lang w:val="en-US" w:eastAsia="zh-CN"/>
        </w:rPr>
        <w:t xml:space="preserve">Jul 8th, </w:t>
      </w:r>
      <w:r>
        <w:rPr>
          <w:sz w:val="24"/>
        </w:rPr>
        <w:t>20</w:t>
      </w:r>
      <w:r>
        <w:rPr>
          <w:rFonts w:hint="eastAsia" w:eastAsia="宋体"/>
          <w:sz w:val="24"/>
          <w:lang w:val="en-US" w:eastAsia="zh-CN"/>
        </w:rPr>
        <w:t xml:space="preserve">21                      </w:t>
      </w:r>
      <w:r>
        <w:rPr>
          <w:sz w:val="24"/>
        </w:rPr>
        <w:t>Expiry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rFonts w:hint="eastAsia" w:eastAsia="宋体"/>
          <w:sz w:val="24"/>
          <w:lang w:val="en-US" w:eastAsia="zh-CN"/>
        </w:rPr>
        <w:t>Jul 7th, 2023</w:t>
      </w:r>
    </w:p>
    <w:tbl>
      <w:tblPr>
        <w:tblStyle w:val="6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2"/>
        <w:gridCol w:w="4938"/>
        <w:gridCol w:w="2623"/>
        <w:gridCol w:w="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before="18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</w:p>
        </w:tc>
        <w:tc>
          <w:tcPr>
            <w:tcW w:w="493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before="18" w:line="273" w:lineRule="exact"/>
              <w:ind w:firstLine="1441" w:firstLineChars="600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</w:t>
            </w:r>
          </w:p>
        </w:tc>
        <w:tc>
          <w:tcPr>
            <w:tcW w:w="262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before="18" w:line="273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Test Result</w:t>
            </w:r>
          </w:p>
        </w:tc>
        <w:tc>
          <w:tcPr>
            <w:tcW w:w="10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012" w:type="dxa"/>
            <w:tcBorders>
              <w:top w:val="single" w:color="000000" w:sz="8" w:space="0"/>
              <w:bottom w:val="nil"/>
            </w:tcBorders>
          </w:tcPr>
          <w:p>
            <w:pPr>
              <w:pStyle w:val="11"/>
              <w:spacing w:before="17"/>
              <w:rPr>
                <w:sz w:val="24"/>
              </w:rPr>
            </w:pPr>
            <w:r>
              <w:rPr>
                <w:rFonts w:hint="eastAsia"/>
                <w:sz w:val="24"/>
              </w:rPr>
              <w:t>Appearance</w:t>
            </w:r>
          </w:p>
        </w:tc>
        <w:tc>
          <w:tcPr>
            <w:tcW w:w="4938" w:type="dxa"/>
            <w:tcBorders>
              <w:top w:val="single" w:color="000000" w:sz="8" w:space="0"/>
              <w:bottom w:val="nil"/>
            </w:tcBorders>
          </w:tcPr>
          <w:p>
            <w:pPr>
              <w:pStyle w:val="11"/>
              <w:spacing w:before="17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White or almost white crystalline powder</w:t>
            </w:r>
          </w:p>
        </w:tc>
        <w:tc>
          <w:tcPr>
            <w:tcW w:w="2623" w:type="dxa"/>
            <w:tcBorders>
              <w:top w:val="single" w:color="000000" w:sz="8" w:space="0"/>
              <w:bottom w:val="nil"/>
            </w:tcBorders>
          </w:tcPr>
          <w:p>
            <w:pPr>
              <w:pStyle w:val="11"/>
              <w:spacing w:before="17"/>
              <w:ind w:left="507"/>
              <w:rPr>
                <w:sz w:val="24"/>
              </w:rPr>
            </w:pPr>
            <w:r>
              <w:rPr>
                <w:rFonts w:hint="eastAsia"/>
                <w:sz w:val="24"/>
              </w:rPr>
              <w:t>Complies</w:t>
            </w:r>
          </w:p>
        </w:tc>
        <w:tc>
          <w:tcPr>
            <w:tcW w:w="107" w:type="dxa"/>
            <w:tcBorders>
              <w:top w:val="single" w:color="000000" w:sz="8" w:space="0"/>
              <w:bottom w:val="nil"/>
            </w:tcBorders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012" w:type="dxa"/>
            <w:tcBorders>
              <w:top w:val="nil"/>
            </w:tcBorders>
          </w:tcPr>
          <w:p>
            <w:pPr>
              <w:pStyle w:val="11"/>
              <w:tabs>
                <w:tab w:val="left" w:pos="850"/>
              </w:tabs>
              <w:spacing w:before="17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Particle size</w:t>
            </w:r>
          </w:p>
        </w:tc>
        <w:tc>
          <w:tcPr>
            <w:tcW w:w="4938" w:type="dxa"/>
            <w:tcBorders>
              <w:top w:val="nil"/>
            </w:tcBorders>
          </w:tcPr>
          <w:p>
            <w:pPr>
              <w:pStyle w:val="11"/>
              <w:spacing w:before="17"/>
              <w:ind w:left="19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95% pass through 80 mesh</w:t>
            </w:r>
          </w:p>
        </w:tc>
        <w:tc>
          <w:tcPr>
            <w:tcW w:w="2623" w:type="dxa"/>
            <w:tcBorders>
              <w:top w:val="nil"/>
            </w:tcBorders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Pass</w:t>
            </w:r>
          </w:p>
        </w:tc>
        <w:tc>
          <w:tcPr>
            <w:tcW w:w="107" w:type="dxa"/>
            <w:tcBorders>
              <w:top w:val="nil"/>
            </w:tcBorders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2" w:type="dxa"/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rFonts w:hint="eastAsia"/>
                <w:sz w:val="24"/>
              </w:rPr>
              <w:t>Ident IR</w:t>
            </w:r>
          </w:p>
        </w:tc>
        <w:tc>
          <w:tcPr>
            <w:tcW w:w="4938" w:type="dxa"/>
          </w:tcPr>
          <w:p>
            <w:pPr>
              <w:pStyle w:val="11"/>
              <w:spacing w:before="17"/>
              <w:ind w:left="19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The IR absorption spectrum conform the reference spectrum</w:t>
            </w:r>
          </w:p>
        </w:tc>
        <w:tc>
          <w:tcPr>
            <w:tcW w:w="2623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Pass</w:t>
            </w:r>
          </w:p>
        </w:tc>
        <w:tc>
          <w:tcPr>
            <w:tcW w:w="107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012" w:type="dxa"/>
            <w:tcBorders>
              <w:bottom w:val="nil"/>
            </w:tcBorders>
          </w:tcPr>
          <w:p>
            <w:pPr>
              <w:pStyle w:val="11"/>
              <w:spacing w:before="13" w:line="274" w:lineRule="exact"/>
              <w:rPr>
                <w:rFonts w:hint="eastAsia"/>
                <w:sz w:val="24"/>
              </w:rPr>
            </w:pPr>
          </w:p>
          <w:p>
            <w:pPr>
              <w:pStyle w:val="11"/>
              <w:spacing w:before="13" w:line="274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Ident HPLC</w:t>
            </w:r>
          </w:p>
        </w:tc>
        <w:tc>
          <w:tcPr>
            <w:tcW w:w="4938" w:type="dxa"/>
            <w:tcBorders>
              <w:bottom w:val="nil"/>
            </w:tcBorders>
          </w:tcPr>
          <w:p>
            <w:pPr>
              <w:pStyle w:val="11"/>
              <w:spacing w:before="17"/>
              <w:ind w:left="19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The retention time of the principal peak in the chromatogram of the Assay preparation corresponds to that in the chromatogram of the Standard preparation</w:t>
            </w:r>
          </w:p>
        </w:tc>
        <w:tc>
          <w:tcPr>
            <w:tcW w:w="2623" w:type="dxa"/>
            <w:tcBorders>
              <w:bottom w:val="nil"/>
            </w:tcBorders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Pass</w:t>
            </w:r>
          </w:p>
        </w:tc>
        <w:tc>
          <w:tcPr>
            <w:tcW w:w="107" w:type="dxa"/>
            <w:tcBorders>
              <w:bottom w:val="nil"/>
            </w:tcBorders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3012" w:type="dxa"/>
            <w:tcBorders>
              <w:top w:val="nil"/>
            </w:tcBorders>
          </w:tcPr>
          <w:p>
            <w:pPr>
              <w:pStyle w:val="11"/>
              <w:spacing w:before="13" w:line="274" w:lineRule="exact"/>
              <w:rPr>
                <w:rFonts w:hint="eastAsia"/>
                <w:sz w:val="24"/>
              </w:rPr>
            </w:pPr>
          </w:p>
          <w:p>
            <w:pPr>
              <w:pStyle w:val="11"/>
              <w:spacing w:before="13" w:line="274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Ident TLC</w:t>
            </w:r>
          </w:p>
        </w:tc>
        <w:tc>
          <w:tcPr>
            <w:tcW w:w="4938" w:type="dxa"/>
            <w:tcBorders>
              <w:top w:val="nil"/>
            </w:tcBorders>
          </w:tcPr>
          <w:p>
            <w:pPr>
              <w:pStyle w:val="11"/>
              <w:spacing w:before="17"/>
              <w:ind w:left="240" w:leftChars="109"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The RF value of the principal spot in the chromatogram of the Test solution corresponds to that of Standard solution</w:t>
            </w:r>
          </w:p>
        </w:tc>
        <w:tc>
          <w:tcPr>
            <w:tcW w:w="2623" w:type="dxa"/>
            <w:tcBorders>
              <w:top w:val="nil"/>
            </w:tcBorders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Pass</w:t>
            </w:r>
          </w:p>
        </w:tc>
        <w:tc>
          <w:tcPr>
            <w:tcW w:w="107" w:type="dxa"/>
            <w:tcBorders>
              <w:top w:val="nil"/>
            </w:tcBorders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12" w:type="dxa"/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rFonts w:hint="eastAsia"/>
                <w:sz w:val="24"/>
              </w:rPr>
              <w:t>Assay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98.0～102.0%</w:t>
            </w:r>
          </w:p>
        </w:tc>
        <w:tc>
          <w:tcPr>
            <w:tcW w:w="2623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99.3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107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2" w:type="dxa"/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rFonts w:hint="eastAsia"/>
                <w:sz w:val="24"/>
              </w:rPr>
              <w:t>Specific Rotation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ind w:firstLine="1680" w:firstLineChars="7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+84.0～+87.5°</w:t>
            </w:r>
          </w:p>
        </w:tc>
        <w:tc>
          <w:tcPr>
            <w:tcW w:w="2623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+85.98°</w:t>
            </w:r>
          </w:p>
        </w:tc>
        <w:tc>
          <w:tcPr>
            <w:tcW w:w="107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12" w:type="dxa"/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Clarity of </w:t>
            </w:r>
            <w:r>
              <w:rPr>
                <w:rFonts w:hint="eastAsia" w:eastAsia="宋体"/>
                <w:sz w:val="24"/>
                <w:lang w:val="en-US" w:eastAsia="zh-CN"/>
              </w:rPr>
              <w:t>S</w:t>
            </w:r>
            <w:r>
              <w:rPr>
                <w:rFonts w:hint="eastAsia"/>
                <w:sz w:val="24"/>
              </w:rPr>
              <w:t>olution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---</w:t>
            </w:r>
          </w:p>
        </w:tc>
        <w:tc>
          <w:tcPr>
            <w:tcW w:w="2623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Clear</w:t>
            </w:r>
          </w:p>
        </w:tc>
        <w:tc>
          <w:tcPr>
            <w:tcW w:w="107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2" w:type="dxa"/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rFonts w:hint="eastAsia"/>
                <w:sz w:val="24"/>
              </w:rPr>
              <w:t>PH (10% aqueous solution)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5.0～7.0</w:t>
            </w:r>
          </w:p>
        </w:tc>
        <w:tc>
          <w:tcPr>
            <w:tcW w:w="2623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6.02</w:t>
            </w:r>
          </w:p>
        </w:tc>
        <w:tc>
          <w:tcPr>
            <w:tcW w:w="107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2" w:type="dxa"/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rFonts w:hint="eastAsia"/>
                <w:sz w:val="24"/>
              </w:rPr>
              <w:t>Moisture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≤2.0%</w:t>
            </w:r>
          </w:p>
        </w:tc>
        <w:tc>
          <w:tcPr>
            <w:tcW w:w="2623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0.2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107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12" w:type="dxa"/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rFonts w:hint="eastAsia"/>
                <w:sz w:val="24"/>
              </w:rPr>
              <w:t>Methanol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≤0.1%</w:t>
            </w:r>
          </w:p>
        </w:tc>
        <w:tc>
          <w:tcPr>
            <w:tcW w:w="2623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Not detected</w:t>
            </w:r>
          </w:p>
        </w:tc>
        <w:tc>
          <w:tcPr>
            <w:tcW w:w="107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2" w:type="dxa"/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rFonts w:hint="eastAsia"/>
                <w:sz w:val="24"/>
              </w:rPr>
              <w:t>Ignited Residue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≤0.7%</w:t>
            </w:r>
          </w:p>
        </w:tc>
        <w:tc>
          <w:tcPr>
            <w:tcW w:w="2623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0.02%</w:t>
            </w:r>
          </w:p>
        </w:tc>
        <w:tc>
          <w:tcPr>
            <w:tcW w:w="107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012" w:type="dxa"/>
          </w:tcPr>
          <w:p>
            <w:pPr>
              <w:pStyle w:val="11"/>
              <w:spacing w:before="13" w:line="256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Arsenic(As)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≤3ppm</w:t>
            </w:r>
          </w:p>
        </w:tc>
        <w:tc>
          <w:tcPr>
            <w:tcW w:w="2623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＜3ppm</w:t>
            </w:r>
          </w:p>
        </w:tc>
        <w:tc>
          <w:tcPr>
            <w:tcW w:w="107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012" w:type="dxa"/>
          </w:tcPr>
          <w:p>
            <w:pPr>
              <w:pStyle w:val="11"/>
              <w:spacing w:before="36"/>
              <w:rPr>
                <w:sz w:val="24"/>
              </w:rPr>
            </w:pPr>
            <w:r>
              <w:rPr>
                <w:rFonts w:hint="eastAsia"/>
                <w:sz w:val="24"/>
              </w:rPr>
              <w:t>Heavy metals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≤10ppm</w:t>
            </w:r>
          </w:p>
        </w:tc>
        <w:tc>
          <w:tcPr>
            <w:tcW w:w="2623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＜10ppm</w:t>
            </w:r>
          </w:p>
        </w:tc>
        <w:tc>
          <w:tcPr>
            <w:tcW w:w="107" w:type="dxa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012" w:type="dxa"/>
          </w:tcPr>
          <w:p>
            <w:pPr>
              <w:pStyle w:val="11"/>
              <w:spacing w:line="211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Lead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≤1ppm</w:t>
            </w:r>
          </w:p>
        </w:tc>
        <w:tc>
          <w:tcPr>
            <w:tcW w:w="2730" w:type="dxa"/>
            <w:gridSpan w:val="2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Not detected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12" w:type="dxa"/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rFonts w:hint="eastAsia"/>
                <w:sz w:val="24"/>
              </w:rPr>
              <w:t>Related substances                              （Other chlorinated disaccharides）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≤0.5%</w:t>
            </w:r>
          </w:p>
        </w:tc>
        <w:tc>
          <w:tcPr>
            <w:tcW w:w="2730" w:type="dxa"/>
            <w:gridSpan w:val="2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＜0.5%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12" w:type="dxa"/>
          </w:tcPr>
          <w:p>
            <w:pPr>
              <w:pStyle w:val="11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Hydrolysis products                    （Chlorinated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monosaccharides）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≤0.1%</w:t>
            </w:r>
          </w:p>
        </w:tc>
        <w:tc>
          <w:tcPr>
            <w:tcW w:w="2730" w:type="dxa"/>
            <w:gridSpan w:val="2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</w:p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Complies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2" w:type="dxa"/>
          </w:tcPr>
          <w:p>
            <w:pPr>
              <w:pStyle w:val="11"/>
              <w:spacing w:before="22" w:line="269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Triphenylphosphine oxide</w:t>
            </w:r>
          </w:p>
        </w:tc>
        <w:tc>
          <w:tcPr>
            <w:tcW w:w="4938" w:type="dxa"/>
          </w:tcPr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≤150ppm</w:t>
            </w:r>
          </w:p>
        </w:tc>
        <w:tc>
          <w:tcPr>
            <w:tcW w:w="2730" w:type="dxa"/>
            <w:gridSpan w:val="2"/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＜150ppm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012" w:type="dxa"/>
            <w:tcBorders>
              <w:bottom w:val="nil"/>
            </w:tcBorders>
          </w:tcPr>
          <w:p>
            <w:pPr>
              <w:pStyle w:val="11"/>
              <w:spacing w:before="22" w:line="27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Total aerobic count</w:t>
            </w:r>
          </w:p>
        </w:tc>
        <w:tc>
          <w:tcPr>
            <w:tcW w:w="4938" w:type="dxa"/>
            <w:tcBorders>
              <w:bottom w:val="nil"/>
            </w:tcBorders>
          </w:tcPr>
          <w:p>
            <w:pPr>
              <w:pStyle w:val="11"/>
              <w:spacing w:before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≤250CFU/g</w:t>
            </w:r>
          </w:p>
        </w:tc>
        <w:tc>
          <w:tcPr>
            <w:tcW w:w="2730" w:type="dxa"/>
            <w:gridSpan w:val="2"/>
            <w:tcBorders>
              <w:bottom w:val="nil"/>
            </w:tcBorders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＜20CFU/g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2" w:type="dxa"/>
            <w:tcBorders>
              <w:top w:val="nil"/>
            </w:tcBorders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sz w:val="24"/>
              </w:rPr>
              <w:t>Yeast &amp; Mold</w:t>
            </w:r>
          </w:p>
        </w:tc>
        <w:tc>
          <w:tcPr>
            <w:tcW w:w="4938" w:type="dxa"/>
            <w:tcBorders>
              <w:top w:val="nil"/>
            </w:tcBorders>
          </w:tcPr>
          <w:p>
            <w:pPr>
              <w:pStyle w:val="11"/>
              <w:jc w:val="center"/>
              <w:rPr>
                <w:sz w:val="22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≤50CFU/g</w:t>
            </w:r>
          </w:p>
        </w:tc>
        <w:tc>
          <w:tcPr>
            <w:tcW w:w="2730" w:type="dxa"/>
            <w:gridSpan w:val="2"/>
            <w:tcBorders>
              <w:top w:val="nil"/>
            </w:tcBorders>
          </w:tcPr>
          <w:p>
            <w:pPr>
              <w:pStyle w:val="11"/>
              <w:spacing w:before="17"/>
              <w:ind w:left="5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＜10CFU/g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2" w:type="dxa"/>
            <w:tcBorders>
              <w:top w:val="nil"/>
            </w:tcBorders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sz w:val="24"/>
              </w:rPr>
              <w:t>Salmonella</w:t>
            </w:r>
          </w:p>
        </w:tc>
        <w:tc>
          <w:tcPr>
            <w:tcW w:w="4938" w:type="dxa"/>
            <w:tcBorders>
              <w:top w:val="nil"/>
            </w:tcBorders>
          </w:tcPr>
          <w:p>
            <w:pPr>
              <w:pStyle w:val="11"/>
              <w:spacing w:before="13"/>
              <w:ind w:left="107" w:firstLine="2160" w:firstLineChars="900"/>
              <w:rPr>
                <w:rFonts w:hint="eastAsia"/>
                <w:sz w:val="24"/>
              </w:rPr>
            </w:pPr>
            <w:r>
              <w:rPr>
                <w:sz w:val="24"/>
              </w:rPr>
              <w:t>Negative</w:t>
            </w:r>
          </w:p>
        </w:tc>
        <w:tc>
          <w:tcPr>
            <w:tcW w:w="2730" w:type="dxa"/>
            <w:gridSpan w:val="2"/>
            <w:tcBorders>
              <w:top w:val="nil"/>
            </w:tcBorders>
          </w:tcPr>
          <w:p>
            <w:pPr>
              <w:pStyle w:val="11"/>
              <w:spacing w:before="13"/>
              <w:ind w:left="107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Negative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12" w:type="dxa"/>
            <w:tcBorders>
              <w:top w:val="nil"/>
            </w:tcBorders>
          </w:tcPr>
          <w:p>
            <w:pPr>
              <w:pStyle w:val="11"/>
              <w:spacing w:before="13"/>
              <w:rPr>
                <w:sz w:val="24"/>
              </w:rPr>
            </w:pPr>
            <w:r>
              <w:rPr>
                <w:sz w:val="24"/>
              </w:rPr>
              <w:t>E. Coli</w:t>
            </w:r>
          </w:p>
        </w:tc>
        <w:tc>
          <w:tcPr>
            <w:tcW w:w="4938" w:type="dxa"/>
            <w:tcBorders>
              <w:top w:val="nil"/>
            </w:tcBorders>
          </w:tcPr>
          <w:p>
            <w:pPr>
              <w:pStyle w:val="11"/>
              <w:spacing w:before="13"/>
              <w:ind w:left="107" w:firstLine="2160" w:firstLineChars="900"/>
              <w:rPr>
                <w:sz w:val="24"/>
              </w:rPr>
            </w:pPr>
            <w:r>
              <w:rPr>
                <w:sz w:val="24"/>
              </w:rPr>
              <w:t>Negative</w:t>
            </w:r>
          </w:p>
        </w:tc>
        <w:tc>
          <w:tcPr>
            <w:tcW w:w="2730" w:type="dxa"/>
            <w:gridSpan w:val="2"/>
            <w:tcBorders>
              <w:top w:val="nil"/>
            </w:tcBorders>
          </w:tcPr>
          <w:p>
            <w:pPr>
              <w:pStyle w:val="11"/>
              <w:spacing w:before="13"/>
              <w:ind w:left="107" w:firstLine="480" w:firstLineChars="200"/>
              <w:rPr>
                <w:rFonts w:hint="eastAsia"/>
                <w:sz w:val="24"/>
              </w:rPr>
            </w:pPr>
            <w:r>
              <w:rPr>
                <w:sz w:val="24"/>
              </w:rPr>
              <w:t>Negative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680" w:type="dxa"/>
            <w:gridSpan w:val="4"/>
          </w:tcPr>
          <w:p>
            <w:pPr>
              <w:pStyle w:val="11"/>
              <w:spacing w:before="36"/>
              <w:rPr>
                <w:rFonts w:hint="eastAsia"/>
                <w:sz w:val="24"/>
              </w:rPr>
            </w:pPr>
          </w:p>
          <w:p>
            <w:pPr>
              <w:pStyle w:val="11"/>
              <w:spacing w:before="3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Storage </w:t>
            </w:r>
            <w:r>
              <w:rPr>
                <w:rFonts w:hint="eastAsia" w:eastAsia="宋体"/>
                <w:sz w:val="24"/>
                <w:lang w:val="en-US" w:eastAsia="zh-CN"/>
              </w:rPr>
              <w:t>C</w:t>
            </w:r>
            <w:r>
              <w:rPr>
                <w:rFonts w:hint="eastAsia"/>
                <w:sz w:val="24"/>
              </w:rPr>
              <w:t>ondition:Store in well closed container, dry and cool place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680" w:type="dxa"/>
            <w:gridSpan w:val="4"/>
          </w:tcPr>
          <w:p>
            <w:pPr>
              <w:pStyle w:val="11"/>
              <w:spacing w:before="36"/>
              <w:rPr>
                <w:rFonts w:hint="eastAsia"/>
                <w:sz w:val="24"/>
              </w:rPr>
            </w:pPr>
          </w:p>
          <w:p>
            <w:pPr>
              <w:pStyle w:val="11"/>
              <w:spacing w:before="36"/>
              <w:rPr>
                <w:sz w:val="24"/>
              </w:rPr>
            </w:pPr>
            <w:r>
              <w:rPr>
                <w:rFonts w:hint="eastAsia"/>
                <w:sz w:val="24"/>
              </w:rPr>
              <w:t>Shelf Life: 2 years while stored in original packing under above stated condition.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680" w:type="dxa"/>
            <w:gridSpan w:val="4"/>
          </w:tcPr>
          <w:p>
            <w:pPr>
              <w:pStyle w:val="11"/>
              <w:spacing w:before="36"/>
              <w:ind w:left="107"/>
              <w:rPr>
                <w:sz w:val="24"/>
              </w:rPr>
            </w:pPr>
          </w:p>
          <w:p>
            <w:pPr>
              <w:pStyle w:val="11"/>
              <w:spacing w:before="36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Conclusion: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The product complies with FCC12,  EP10, USP43, E955,GB25531 andGB4789 standards.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Approved：  Zhang Ting                                                                                                   Insp</w:t>
      </w:r>
      <w:bookmarkStart w:id="0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7603490</wp:posOffset>
            </wp:positionV>
            <wp:extent cx="1128395" cy="1128395"/>
            <wp:effectExtent l="0" t="0" r="14605" b="14605"/>
            <wp:wrapNone/>
            <wp:docPr id="3" name="图片 2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片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eastAsia="宋体"/>
          <w:lang w:val="en-US" w:eastAsia="zh-CN"/>
        </w:rPr>
        <w:t>ector：Li Qianhui</w:t>
      </w:r>
    </w:p>
    <w:sectPr>
      <w:headerReference r:id="rId5" w:type="default"/>
      <w:type w:val="continuous"/>
      <w:pgSz w:w="11910" w:h="16840"/>
      <w:pgMar w:top="440" w:right="500" w:bottom="280" w:left="5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ind w:left="860" w:firstLine="1100" w:firstLineChars="500"/>
      <w:rPr>
        <w:rFonts w:ascii="Times New Roman" w:hAnsi="Times New Roman" w:eastAsia="Times New Roman"/>
        <w:b/>
        <w:sz w:val="36"/>
        <w:szCs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</wp:posOffset>
          </wp:positionH>
          <wp:positionV relativeFrom="paragraph">
            <wp:posOffset>-179705</wp:posOffset>
          </wp:positionV>
          <wp:extent cx="746125" cy="477520"/>
          <wp:effectExtent l="0" t="0" r="15875" b="1778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12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/>
        <w:b/>
        <w:sz w:val="36"/>
        <w:szCs w:val="24"/>
      </w:rPr>
      <w:t>XI'AN BIOF BIO-TECHNOLOGY CO.,LTD</w:t>
    </w:r>
  </w:p>
  <w:p>
    <w:pPr>
      <w:spacing w:line="0" w:lineRule="atLeast"/>
      <w:ind w:left="860" w:firstLine="360" w:firstLineChars="200"/>
      <w:rPr>
        <w:rFonts w:hint="eastAsia" w:ascii="Arial" w:hAnsi="Arial" w:eastAsia="宋体"/>
        <w:sz w:val="18"/>
        <w:szCs w:val="18"/>
        <w:lang w:val="en-US" w:eastAsia="zh-CN"/>
      </w:rPr>
    </w:pPr>
    <w:r>
      <w:rPr>
        <w:rFonts w:hint="eastAsia" w:ascii="Arial" w:hAnsi="Arial" w:eastAsia="宋体"/>
        <w:sz w:val="18"/>
        <w:szCs w:val="18"/>
        <w:lang w:val="en-US" w:eastAsia="zh-CN"/>
      </w:rPr>
      <w:t xml:space="preserve"> </w:t>
    </w:r>
  </w:p>
  <w:p>
    <w:pPr>
      <w:bidi w:val="0"/>
      <w:ind w:firstLine="1100" w:firstLineChars="500"/>
    </w:pPr>
    <w:r>
      <w:t>Room 1601, Tower 1, Building 25, Gaoke Garden, Gaoxin 5th Rd,High-tech Zone Xi’an, China</w:t>
    </w:r>
  </w:p>
  <w:p>
    <w:pPr>
      <w:bidi w:val="0"/>
      <w:ind w:firstLine="2200" w:firstLineChars="1000"/>
    </w:pPr>
    <w:r>
      <w:t>Tel:+86 29 88447187  E-mail:Louis@xabiof.com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04FF1"/>
    <w:rsid w:val="13E01F10"/>
    <w:rsid w:val="17274109"/>
    <w:rsid w:val="376937AB"/>
    <w:rsid w:val="387A6293"/>
    <w:rsid w:val="437753CC"/>
    <w:rsid w:val="461C3B64"/>
    <w:rsid w:val="5A485CB0"/>
    <w:rsid w:val="76936D7C"/>
    <w:rsid w:val="78AD3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25"/>
      <w:ind w:left="73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hanging="540"/>
    </w:pPr>
    <w:rPr>
      <w:rFonts w:ascii="Arial" w:hAnsi="Arial" w:eastAsia="Arial" w:cs="Arial"/>
      <w:sz w:val="18"/>
      <w:szCs w:val="18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1517</Characters>
  <TotalTime>1</TotalTime>
  <ScaleCrop>false</ScaleCrop>
  <LinksUpToDate>false</LinksUpToDate>
  <CharactersWithSpaces>2028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2020-06-29T03:36:00Z</dcterms:created>
  <dc:creator>Administrator</dc:creator>
  <cp:lastModifiedBy>刘振宇</cp:lastModifiedBy>
  <dcterms:modified xsi:type="dcterms:W3CDTF">2021-09-13T08:35:05Z</dcterms:modified>
  <dc:title>Certificate of Analysis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629C809BE15D42A29B3C6F3D85A53D44</vt:lpwstr>
  </property>
</Properties>
</file>